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B1DB0" w14:textId="77777777" w:rsidR="00A873C1" w:rsidRDefault="00A873C1">
      <w:pPr>
        <w:pStyle w:val="Standard"/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4"/>
        <w:gridCol w:w="2274"/>
        <w:gridCol w:w="3488"/>
      </w:tblGrid>
      <w:tr w:rsidR="00A873C1" w14:paraId="240339AC" w14:textId="77777777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AEC5D8" w14:textId="77777777" w:rsidR="00A873C1" w:rsidRDefault="001129E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Kolbuszowa, dnia 16.02.2023</w:t>
            </w:r>
          </w:p>
          <w:p w14:paraId="40E8F8AA" w14:textId="77777777" w:rsidR="00A873C1" w:rsidRDefault="001129E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Komornik Sądowy przy Sądzie Rejonowym w Kolbuszowej</w:t>
            </w:r>
          </w:p>
          <w:p w14:paraId="44985BB6" w14:textId="77777777" w:rsidR="00A873C1" w:rsidRDefault="001129E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Monika Toczek Kancelaria Komornicza nr II w Kolbuszowej</w:t>
            </w:r>
          </w:p>
        </w:tc>
      </w:tr>
      <w:tr w:rsidR="00A873C1" w14:paraId="611F729A" w14:textId="77777777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C84C2F" w14:textId="77777777" w:rsidR="00A873C1" w:rsidRDefault="001129E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36-100 Kolbuszowa, ul.  Obrońców Pokoju 15</w:t>
            </w:r>
          </w:p>
        </w:tc>
      </w:tr>
      <w:tr w:rsidR="00A873C1" w14:paraId="1B6FB972" w14:textId="77777777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bottom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C5B62" w14:textId="77777777" w:rsidR="00A873C1" w:rsidRDefault="001129E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tel.: 797 921 423, email: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kolbuszowa.toczek@komornik.pl</w:t>
            </w:r>
          </w:p>
          <w:p w14:paraId="53CA857C" w14:textId="77777777" w:rsidR="00A873C1" w:rsidRDefault="001129E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konto: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BNP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Paribas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Bank Polska S. A. 23 1600 1462 1801 9264 2000 0004</w:t>
            </w:r>
          </w:p>
        </w:tc>
      </w:tr>
      <w:tr w:rsidR="00A873C1" w14:paraId="5DBB6198" w14:textId="77777777">
        <w:tblPrEx>
          <w:tblCellMar>
            <w:top w:w="0" w:type="dxa"/>
            <w:bottom w:w="0" w:type="dxa"/>
          </w:tblCellMar>
        </w:tblPrEx>
        <w:tc>
          <w:tcPr>
            <w:tcW w:w="444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A0443" w14:textId="77777777" w:rsidR="00A873C1" w:rsidRDefault="001129E5">
            <w:pPr>
              <w:pStyle w:val="Normal"/>
              <w:tabs>
                <w:tab w:val="left" w:pos="55"/>
                <w:tab w:val="left" w:pos="311"/>
                <w:tab w:val="left" w:pos="1134"/>
                <w:tab w:val="left" w:pos="3683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311" w:right="1644" w:hanging="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sygn. akt Km 16/22</w:t>
            </w:r>
          </w:p>
        </w:tc>
        <w:tc>
          <w:tcPr>
            <w:tcW w:w="5762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23A81" w14:textId="77777777" w:rsidR="00A873C1" w:rsidRDefault="00A873C1">
            <w:pPr>
              <w:pStyle w:val="Normal"/>
              <w:tabs>
                <w:tab w:val="left" w:pos="311"/>
                <w:tab w:val="left" w:pos="1134"/>
                <w:tab w:val="left" w:pos="249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311" w:hanging="311"/>
              <w:jc w:val="right"/>
              <w:rPr>
                <w:color w:val="000000"/>
                <w:lang w:val="en-US" w:eastAsia="en-US" w:bidi="en-US"/>
              </w:rPr>
            </w:pPr>
          </w:p>
        </w:tc>
      </w:tr>
      <w:tr w:rsidR="00A873C1" w14:paraId="3E287C10" w14:textId="77777777">
        <w:tblPrEx>
          <w:tblCellMar>
            <w:top w:w="0" w:type="dxa"/>
            <w:bottom w:w="0" w:type="dxa"/>
          </w:tblCellMar>
        </w:tblPrEx>
        <w:tc>
          <w:tcPr>
            <w:tcW w:w="6718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9BF26F" w14:textId="77777777" w:rsidR="00A873C1" w:rsidRDefault="001129E5">
            <w:pPr>
              <w:pStyle w:val="Normal"/>
              <w:tabs>
                <w:tab w:val="left" w:pos="31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311" w:hanging="311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w odpowiedzi należy podać: sygn. akt Km 16/22</w:t>
            </w:r>
          </w:p>
        </w:tc>
        <w:tc>
          <w:tcPr>
            <w:tcW w:w="348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B093F3" w14:textId="77777777" w:rsidR="00A873C1" w:rsidRDefault="00A873C1">
            <w:pPr>
              <w:pStyle w:val="Normal"/>
              <w:tabs>
                <w:tab w:val="left" w:pos="311"/>
                <w:tab w:val="left" w:pos="1134"/>
                <w:tab w:val="left" w:pos="249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311" w:hanging="311"/>
              <w:rPr>
                <w:color w:val="000000"/>
                <w:lang w:val="en-US" w:eastAsia="en-US" w:bidi="en-US"/>
              </w:rPr>
            </w:pPr>
          </w:p>
        </w:tc>
      </w:tr>
    </w:tbl>
    <w:p w14:paraId="322C40CA" w14:textId="77777777" w:rsidR="00A873C1" w:rsidRDefault="001129E5">
      <w:pPr>
        <w:pStyle w:val="Normal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O B W I E S Z C Z E N I E</w:t>
      </w:r>
    </w:p>
    <w:p w14:paraId="66BE4A17" w14:textId="77777777" w:rsidR="00A873C1" w:rsidRDefault="00A873C1">
      <w:pPr>
        <w:pStyle w:val="Normal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D2D43DA" w14:textId="77777777" w:rsidR="00A873C1" w:rsidRDefault="001129E5">
      <w:pPr>
        <w:pStyle w:val="Normal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Komornik Sądowy przy Sądzie Rejonowym w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Kolbuszowej Monika Toczek Kancelaria Komornicza nr II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w Kolbuszowej na podstawie art. 953 k.p.c. w związku z art. 955 k.p.c. zawiadamia, że w dniu:</w:t>
      </w:r>
    </w:p>
    <w:p w14:paraId="3C90C076" w14:textId="77777777" w:rsidR="00A873C1" w:rsidRDefault="001129E5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</w:p>
    <w:p w14:paraId="18344689" w14:textId="77777777" w:rsidR="00A873C1" w:rsidRDefault="001129E5">
      <w:pPr>
        <w:pStyle w:val="Normal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30 marca 2023 r., o godz.: 09:30</w:t>
      </w:r>
    </w:p>
    <w:p w14:paraId="2882BD2E" w14:textId="77777777" w:rsidR="00A873C1" w:rsidRDefault="00A873C1">
      <w:pPr>
        <w:pStyle w:val="Normal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3AA04529" w14:textId="77777777" w:rsidR="00A873C1" w:rsidRDefault="001129E5">
      <w:pPr>
        <w:pStyle w:val="Normal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w sali nr 115 Sądu Rejonowego w Kolbuszowej (ul. Tyszkiewiczów 4, 36-1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00 Kolbuszowa), odbędzie się:</w:t>
      </w:r>
    </w:p>
    <w:p w14:paraId="3189F942" w14:textId="77777777" w:rsidR="00A873C1" w:rsidRDefault="00A873C1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152C17C5" w14:textId="77777777" w:rsidR="00A873C1" w:rsidRDefault="001129E5">
      <w:pPr>
        <w:pStyle w:val="Normal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PIERWSZA LICYTACJA NIERUCHOMOŚCI nr KW TB1K/00021567/8</w:t>
      </w:r>
    </w:p>
    <w:p w14:paraId="57989C48" w14:textId="77777777" w:rsidR="00A873C1" w:rsidRDefault="001129E5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</w:p>
    <w:p w14:paraId="14B06D72" w14:textId="77777777" w:rsidR="00A873C1" w:rsidRDefault="001129E5">
      <w:pPr>
        <w:pStyle w:val="Normal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opisanej jako zabudowana działka gruntu nr 619/2 o powierzchni 0,1100 ha położona w miejscowości Kolbuszowa Dolna, gm. Kolbuszowa, dla której IV Wydział Ksiąg Wieczyst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ych Sądu Rejonowego w Kolbuszowej prowadzi KW nr TB1K/00021567/8 należącej do dłużników na zasadzie wspólności ustawowej majątkowej małżeńskiej.</w:t>
      </w:r>
    </w:p>
    <w:p w14:paraId="4F63687C" w14:textId="77777777" w:rsidR="00A873C1" w:rsidRDefault="001129E5">
      <w:pPr>
        <w:pStyle w:val="Normal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Działka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ewid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. nr 619/2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zabudowana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jest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budynkiem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mieszkalnym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jednorodzinnym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działka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zagospodarowana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ogrodzon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porośnięta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trawą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drzewami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krzewami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podjazd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chodniki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utwardzone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części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kostką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brukową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teren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płaski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Dojazd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działki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ewid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. nr 619/2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realizowany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jest 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pomocą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drogi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gminnej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bliskiej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odległości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drogi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głównej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wojewódzkiej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nr 875.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Działka 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ży w odległości ok. 2,3 km od ścisłego centrum miasta Kolbuszowa.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Sąsiedztwo działki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ewid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nr 619/2 stanowi zabudowa mieszkaniowa jednorodzinna i zagrodowa oraz na tyłach nieruchomości grunty rolne.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Działka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ewid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. nr 619/2 zabudowana jest budynkiem mieszkal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nym jednorodzinnym, piętrowym. Budynek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niepodpiwniczony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wybudowany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technologii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tradycyjnej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murowanej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latach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1998-2000,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dach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budynku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wielospadowy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konstrukcji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drewnianej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pokryty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blachą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Budynek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całkowicie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wykończony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ociepleniem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zewnętrznym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styropian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oraz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tynkiem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zewnętrznym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tradycyjnym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.</w:t>
      </w:r>
    </w:p>
    <w:p w14:paraId="33AC2E1F" w14:textId="77777777" w:rsidR="00A873C1" w:rsidRDefault="001129E5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>Dom o powierzchni zabudowy: 147,00 m</w:t>
      </w:r>
      <w:r>
        <w:rPr>
          <w:rFonts w:eastAsia="Times New Roman" w:cs="Times New Roman"/>
          <w:color w:val="000000"/>
          <w:position w:val="6"/>
          <w:sz w:val="20"/>
          <w:szCs w:val="20"/>
          <w:lang w:eastAsia="pl-PL" w:bidi="pl-PL"/>
        </w:rPr>
        <w:t>2</w:t>
      </w:r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 xml:space="preserve"> i </w:t>
      </w:r>
      <w:proofErr w:type="gramStart"/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>powierzchni  użytkowej</w:t>
      </w:r>
      <w:proofErr w:type="gramEnd"/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>: 192,00 m</w:t>
      </w:r>
      <w:r>
        <w:rPr>
          <w:rFonts w:eastAsia="Times New Roman" w:cs="Times New Roman"/>
          <w:color w:val="000000"/>
          <w:position w:val="6"/>
          <w:sz w:val="20"/>
          <w:szCs w:val="20"/>
          <w:lang w:eastAsia="pl-PL" w:bidi="pl-PL"/>
        </w:rPr>
        <w:t xml:space="preserve">2 </w:t>
      </w:r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>, posiadający dwie kondygnacje nadziemne, niepodpiwniczony. Dom murowany z pustaka i cegły, fundamenty betonowe, nad pa</w:t>
      </w:r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>rterem i piętrem strop żelbetowy tradycyjny. Dach wielospadowy, konstrukcji drewnianej, pokryty blachą, kominy z cegły pełnej. Stolarka okienna PVC, na klatce schodowej, ganku i w składzie opałowym drewniane, drzwi wejściowe metalowe, elewacja z zastosowan</w:t>
      </w:r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 xml:space="preserve">iem tynku tradycyjnego, parapety zewnętrzne stalowe, rynny i rury spustowe z PVC. Budynek wyposażony jest w instalację wodociągową z sieci gminnej, kanalizacyjną z sieci gminnej, elektroenergetyczną z sieci, gazową z sieci. C.o. oraz </w:t>
      </w:r>
      <w:proofErr w:type="spellStart"/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>c.w.u</w:t>
      </w:r>
      <w:proofErr w:type="spellEnd"/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 xml:space="preserve"> z kotła na paliw</w:t>
      </w:r>
      <w:r>
        <w:rPr>
          <w:rFonts w:eastAsia="Times New Roman" w:cs="Times New Roman"/>
          <w:color w:val="000000"/>
          <w:sz w:val="20"/>
          <w:szCs w:val="20"/>
          <w:lang w:eastAsia="pl-PL" w:bidi="pl-PL"/>
        </w:rPr>
        <w:t>o stałe.</w:t>
      </w:r>
    </w:p>
    <w:p w14:paraId="6F722344" w14:textId="77777777" w:rsidR="00A873C1" w:rsidRDefault="00A873C1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08BFD6E7" w14:textId="77777777" w:rsidR="00A873C1" w:rsidRDefault="001129E5">
      <w:pPr>
        <w:pStyle w:val="Normal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Nieruchomość oszacowana jest na kwotę 450 129,00 zł.</w:t>
      </w:r>
    </w:p>
    <w:p w14:paraId="42A3FE4F" w14:textId="77777777" w:rsidR="00A873C1" w:rsidRDefault="001129E5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Cena wywoławcza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w powyższej licytacji wynosi: 3/4 wartości oszacowania tj.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kwotę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337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596,75 zł.</w:t>
      </w:r>
    </w:p>
    <w:p w14:paraId="286004DA" w14:textId="77777777" w:rsidR="00A873C1" w:rsidRDefault="001129E5">
      <w:pPr>
        <w:pStyle w:val="Normal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Przystępujący do licytacji zobowiązany jest złożyć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rękojmię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w wysokości 10% ceny oszacowania nieruchomości, tj. kwotę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45 012,90 zł.</w:t>
      </w:r>
    </w:p>
    <w:p w14:paraId="06A6E51B" w14:textId="77777777" w:rsidR="00A873C1" w:rsidRDefault="001129E5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14:paraId="4BB00257" w14:textId="77777777" w:rsidR="00A873C1" w:rsidRDefault="001129E5">
      <w:pPr>
        <w:pStyle w:val="Normal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Rękojmię należy złożyć najpóźniej w dniu poprzedzającym przetarg w gotówce, na rachunek bankowy kancelarii: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 w:bidi="pl-PL"/>
        </w:rPr>
        <w:t xml:space="preserve">BNP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 w:bidi="pl-PL"/>
        </w:rPr>
        <w:t>Paribas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 w:bidi="pl-PL"/>
        </w:rPr>
        <w:t xml:space="preserve"> Bank Polska S. A.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 w:bidi="pl-PL"/>
        </w:rPr>
        <w:t>23 1600 1462 1801 9264 2000 0004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lub w pos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taci książeczki oszczędnościowej banków upoważnionych według prawa bankowego do jej wystawienia, zaopatrzonej w upoważnienie właściciela do wypłaty całego wkładu stosownie do prawomocnego postanowienia Sądu o utracie rękojmi. Składając rękojmię licytant wi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nien wskazać sygnaturę niniejszego postępowania (tj. Km 16/22 - z dopiskiem RĘKOJMIA), swój adres oraz nr PESEL. W dniu licytacji rękojmia nie będzie przyjmowana. Nieruchomość można oglądać w ciągu dwóch tygodni przed licytacją po wcześniejszym uzgodnieniu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terminu z komornikiem. Operat szacunkowy tej nieruchomości znajduje się do wglądu w biurze komornika. Akta postępowania egzekucyjnego na dwa tygodnie przed licytacją zostaną przesłane do Wydziału Cywilnego Sądu Rejonowego w Kolbuszowej, jednakże w kancela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rii komornika pozostanie do wglądu odpis operatu. Prawa osób trzecich nie będą przeszkodą do licytacji i przysądzenia własności na rzecz nabywcy bez zastrzeżeń, jeżeli osoby te przed rozpoczęciem licytacji nie złożą dowodu, iż wniosły powództwo o zwolnieni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e nieruchomości lub przedmiotów razem z nią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zajętych  od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egzekucji i uzyskały w tym zakresie orzeczenie wstrzymujące egzekucję. Użytkowanie, służebności i prawa dożywotnika, jeżeli nie są ujawnione w księdze wieczystej lub przez złożenie dokumentu do zbior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u dokumentów i nie zostaną zgłoszone najpóźniej na trzy dni przed rozpoczęciem licytacji, nie będą uwzględnione w dalszym toku egzekucji i wygasną z chwilą uprawomocnienia się postanowienia o przysądzeniu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lastRenderedPageBreak/>
        <w:t>własności. Pełnomocnictwo do udziału w przetargu po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winno być stwierdzone dokumentem z podpisem urzędowo poświadczonym. Podpisy na pełnomocnictwach udzielonych przez państwowe jednostki organizacyjne lub jednostki organizacyjne samorządu terytorialnego oraz na pełnomocnictwach udzielonych adwokatom lub radc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om prawnym nie wymagają poświadczenia.  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4"/>
        <w:gridCol w:w="3307"/>
      </w:tblGrid>
      <w:tr w:rsidR="00A873C1" w14:paraId="575875E4" w14:textId="77777777">
        <w:tblPrEx>
          <w:tblCellMar>
            <w:top w:w="0" w:type="dxa"/>
            <w:bottom w:w="0" w:type="dxa"/>
          </w:tblCellMar>
        </w:tblPrEx>
        <w:tc>
          <w:tcPr>
            <w:tcW w:w="5764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14:paraId="3A56B306" w14:textId="77777777" w:rsidR="00A873C1" w:rsidRDefault="00A873C1">
            <w:pPr>
              <w:pStyle w:val="Normal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3307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14:paraId="2B1ECAD7" w14:textId="77777777" w:rsidR="00A873C1" w:rsidRDefault="001129E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K O M O R N I K</w:t>
            </w:r>
          </w:p>
        </w:tc>
      </w:tr>
      <w:tr w:rsidR="00A873C1" w14:paraId="59CA14BB" w14:textId="77777777">
        <w:tblPrEx>
          <w:tblCellMar>
            <w:top w:w="0" w:type="dxa"/>
            <w:bottom w:w="0" w:type="dxa"/>
          </w:tblCellMar>
        </w:tblPrEx>
        <w:tc>
          <w:tcPr>
            <w:tcW w:w="5764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14:paraId="77AF9938" w14:textId="77777777" w:rsidR="00A873C1" w:rsidRDefault="00A873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3307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14:paraId="2696010A" w14:textId="77777777" w:rsidR="00A873C1" w:rsidRDefault="00A873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  <w:p w14:paraId="63B2B4AC" w14:textId="77777777" w:rsidR="00A873C1" w:rsidRDefault="001129E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Monika Toczek</w:t>
            </w:r>
          </w:p>
        </w:tc>
      </w:tr>
    </w:tbl>
    <w:p w14:paraId="388A3981" w14:textId="77777777" w:rsidR="00A873C1" w:rsidRDefault="00A873C1">
      <w:pPr>
        <w:pStyle w:val="Normal"/>
        <w:tabs>
          <w:tab w:val="left" w:pos="3685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3685" w:firstLine="2579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 w:bidi="pl-PL"/>
        </w:rPr>
      </w:pPr>
    </w:p>
    <w:p w14:paraId="29CCCF19" w14:textId="77777777" w:rsidR="00A873C1" w:rsidRDefault="00A873C1">
      <w:pPr>
        <w:pStyle w:val="Standard"/>
      </w:pPr>
    </w:p>
    <w:sectPr w:rsidR="00A873C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11360" w14:textId="77777777" w:rsidR="00000000" w:rsidRDefault="001129E5">
      <w:r>
        <w:separator/>
      </w:r>
    </w:p>
  </w:endnote>
  <w:endnote w:type="continuationSeparator" w:id="0">
    <w:p w14:paraId="0E2CA552" w14:textId="77777777" w:rsidR="00000000" w:rsidRDefault="0011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1C5A1" w14:textId="77777777" w:rsidR="00000000" w:rsidRDefault="001129E5">
      <w:r>
        <w:rPr>
          <w:color w:val="000000"/>
        </w:rPr>
        <w:separator/>
      </w:r>
    </w:p>
  </w:footnote>
  <w:footnote w:type="continuationSeparator" w:id="0">
    <w:p w14:paraId="4B74265B" w14:textId="77777777" w:rsidR="00000000" w:rsidRDefault="00112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873C1"/>
    <w:rsid w:val="001129E5"/>
    <w:rsid w:val="00A8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BE1E"/>
  <w15:docId w15:val="{2CC5DD08-2FC1-465F-B707-483B03ED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next w:val="Standard"/>
    <w:pPr>
      <w:autoSpaceDE w:val="0"/>
    </w:pPr>
    <w:rPr>
      <w:rFonts w:ascii="Arial" w:eastAsia="Arial" w:hAnsi="Arial" w:cs="Arial"/>
    </w:rPr>
  </w:style>
  <w:style w:type="paragraph" w:customStyle="1" w:styleId="Domylnie">
    <w:name w:val="Domy?lnie"/>
    <w:basedOn w:val="Normal"/>
    <w:next w:val="Standard"/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724</Words>
  <Characters>4348</Characters>
  <Application>Microsoft Office Word</Application>
  <DocSecurity>4</DocSecurity>
  <Lines>36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Toczek</dc:creator>
  <cp:lastModifiedBy>Bogdan Wilk</cp:lastModifiedBy>
  <cp:revision>2</cp:revision>
  <dcterms:created xsi:type="dcterms:W3CDTF">2023-02-23T14:17:00Z</dcterms:created>
  <dcterms:modified xsi:type="dcterms:W3CDTF">2023-02-23T14:17:00Z</dcterms:modified>
</cp:coreProperties>
</file>