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66176" w14:textId="77777777" w:rsidR="004D1E83" w:rsidRDefault="004D1E83">
      <w:pPr>
        <w:pStyle w:val="Standard"/>
        <w:rPr>
          <w:rFonts w:hint="eastAsia"/>
        </w:rPr>
      </w:pPr>
    </w:p>
    <w:tbl>
      <w:tblPr>
        <w:tblW w:w="10206" w:type="dxa"/>
        <w:tblInd w:w="-3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44"/>
        <w:gridCol w:w="2274"/>
        <w:gridCol w:w="3488"/>
      </w:tblGrid>
      <w:tr w:rsidR="004D1E83" w14:paraId="0C357954" w14:textId="77777777">
        <w:tblPrEx>
          <w:tblCellMar>
            <w:top w:w="0" w:type="dxa"/>
            <w:bottom w:w="0" w:type="dxa"/>
          </w:tblCellMar>
        </w:tblPrEx>
        <w:tc>
          <w:tcPr>
            <w:tcW w:w="10205" w:type="dxa"/>
            <w:gridSpan w:val="3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6B05B7C4" w14:textId="77777777" w:rsidR="004D1E83" w:rsidRDefault="009F49BD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</w:tabs>
              <w:jc w:val="right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 w:bidi="pl-PL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 w:bidi="pl-PL"/>
              </w:rPr>
              <w:t>Kolbuszowa, dnia 15.09.2023</w:t>
            </w:r>
          </w:p>
          <w:p w14:paraId="5567DA7B" w14:textId="77777777" w:rsidR="004D1E83" w:rsidRDefault="009F49BD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</w:tabs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 w:bidi="pl-PL"/>
              </w:rPr>
              <w:t>Komornik 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 w:bidi="pl-PL"/>
              </w:rPr>
              <w:t>ądowy przy Sądzie Rejonowym w Kolbuszowej Monika Toczek Kancelaria Komornicza nr II w Kolbuszowej</w:t>
            </w:r>
          </w:p>
        </w:tc>
      </w:tr>
      <w:tr w:rsidR="004D1E83" w14:paraId="6A9E4D0C" w14:textId="77777777">
        <w:tblPrEx>
          <w:tblCellMar>
            <w:top w:w="0" w:type="dxa"/>
            <w:bottom w:w="0" w:type="dxa"/>
          </w:tblCellMar>
        </w:tblPrEx>
        <w:tc>
          <w:tcPr>
            <w:tcW w:w="10205" w:type="dxa"/>
            <w:gridSpan w:val="3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7A7C3A6B" w14:textId="77777777" w:rsidR="004D1E83" w:rsidRDefault="009F49BD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</w:tabs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 w:bidi="pl-PL"/>
              </w:rPr>
              <w:t xml:space="preserve">Kancelaria Komornicza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 w:bidi="pl-PL"/>
              </w:rPr>
              <w:t>w  Kolbuszowej</w:t>
            </w:r>
            <w:proofErr w:type="gramEnd"/>
          </w:p>
          <w:p w14:paraId="0ADA0FD6" w14:textId="77777777" w:rsidR="004D1E83" w:rsidRDefault="009F49BD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</w:tabs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 w:bidi="pl-PL"/>
              </w:rPr>
              <w:t>36-100 Kolbuszowa, ul.  Obro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 w:bidi="pl-PL"/>
              </w:rPr>
              <w:t>ńców Pokoju 15</w:t>
            </w:r>
          </w:p>
        </w:tc>
      </w:tr>
      <w:tr w:rsidR="004D1E83" w14:paraId="12372D11" w14:textId="77777777">
        <w:tblPrEx>
          <w:tblCellMar>
            <w:top w:w="0" w:type="dxa"/>
            <w:bottom w:w="0" w:type="dxa"/>
          </w:tblCellMar>
        </w:tblPrEx>
        <w:tc>
          <w:tcPr>
            <w:tcW w:w="10205" w:type="dxa"/>
            <w:gridSpan w:val="3"/>
            <w:tcBorders>
              <w:bottom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5FEAA10" w14:textId="77777777" w:rsidR="004D1E83" w:rsidRDefault="009F49BD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</w:tabs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 w:bidi="pl-PL"/>
              </w:rPr>
              <w:t xml:space="preserve">tel.: 797 921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 w:bidi="pl-PL"/>
              </w:rPr>
              <w:t>423, email: kolbuszowa.toczek@komornik.pl</w:t>
            </w:r>
          </w:p>
          <w:p w14:paraId="25CF0673" w14:textId="77777777" w:rsidR="004D1E83" w:rsidRDefault="009F49BD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</w:tabs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 w:bidi="pl-PL"/>
              </w:rPr>
              <w:t xml:space="preserve">konto: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 w:bidi="pl-PL"/>
              </w:rPr>
              <w:t xml:space="preserve">BNP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 w:bidi="pl-PL"/>
              </w:rPr>
              <w:t>Paribas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 w:bidi="pl-PL"/>
              </w:rPr>
              <w:t xml:space="preserve"> Bank Polska S. A. 23 1600 1462 1801 9264 2000 0004</w:t>
            </w:r>
          </w:p>
        </w:tc>
      </w:tr>
      <w:tr w:rsidR="004D1E83" w14:paraId="2094B0A8" w14:textId="77777777">
        <w:tblPrEx>
          <w:tblCellMar>
            <w:top w:w="0" w:type="dxa"/>
            <w:bottom w:w="0" w:type="dxa"/>
          </w:tblCellMar>
        </w:tblPrEx>
        <w:tc>
          <w:tcPr>
            <w:tcW w:w="4443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69C89CFF" w14:textId="77777777" w:rsidR="004D1E83" w:rsidRDefault="009F49BD">
            <w:pPr>
              <w:pStyle w:val="Normal"/>
              <w:tabs>
                <w:tab w:val="left" w:pos="366"/>
                <w:tab w:val="left" w:pos="622"/>
                <w:tab w:val="left" w:pos="1445"/>
                <w:tab w:val="left" w:pos="3994"/>
              </w:tabs>
              <w:ind w:left="311" w:right="1644" w:hanging="311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 w:bidi="pl-PL"/>
              </w:rPr>
              <w:t xml:space="preserve">sygn. akt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 w:bidi="pl-PL"/>
              </w:rPr>
              <w:t>Kmn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 w:bidi="pl-PL"/>
              </w:rPr>
              <w:t> 66/23</w:t>
            </w:r>
          </w:p>
        </w:tc>
        <w:tc>
          <w:tcPr>
            <w:tcW w:w="5762" w:type="dxa"/>
            <w:gridSpan w:val="2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503BC8D7" w14:textId="77777777" w:rsidR="004D1E83" w:rsidRDefault="004D1E83">
            <w:pPr>
              <w:pStyle w:val="Normal"/>
              <w:tabs>
                <w:tab w:val="left" w:pos="622"/>
                <w:tab w:val="left" w:pos="1445"/>
                <w:tab w:val="left" w:pos="2803"/>
              </w:tabs>
              <w:ind w:left="311" w:hanging="311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 w:bidi="pl-PL"/>
              </w:rPr>
            </w:pPr>
          </w:p>
        </w:tc>
      </w:tr>
      <w:tr w:rsidR="004D1E83" w14:paraId="2BD91430" w14:textId="77777777">
        <w:tblPrEx>
          <w:tblCellMar>
            <w:top w:w="0" w:type="dxa"/>
            <w:bottom w:w="0" w:type="dxa"/>
          </w:tblCellMar>
        </w:tblPrEx>
        <w:tc>
          <w:tcPr>
            <w:tcW w:w="6717" w:type="dxa"/>
            <w:gridSpan w:val="2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0349DAA0" w14:textId="77777777" w:rsidR="004D1E83" w:rsidRDefault="009F49BD">
            <w:pPr>
              <w:pStyle w:val="Normal"/>
              <w:tabs>
                <w:tab w:val="left" w:pos="622"/>
              </w:tabs>
              <w:ind w:left="311" w:hanging="311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 w:bidi="pl-PL"/>
              </w:rPr>
              <w:t>w odpowiedzi nale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 w:bidi="pl-PL"/>
              </w:rPr>
              <w:t xml:space="preserve">ży podać: sygn. akt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 w:bidi="pl-PL"/>
              </w:rPr>
              <w:t>Kmn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 w:bidi="pl-PL"/>
              </w:rPr>
              <w:t> 66/23</w:t>
            </w:r>
          </w:p>
        </w:tc>
        <w:tc>
          <w:tcPr>
            <w:tcW w:w="3488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4354EB71" w14:textId="77777777" w:rsidR="004D1E83" w:rsidRDefault="004D1E83">
            <w:pPr>
              <w:pStyle w:val="Normal"/>
              <w:tabs>
                <w:tab w:val="left" w:pos="622"/>
                <w:tab w:val="left" w:pos="1445"/>
                <w:tab w:val="left" w:pos="2803"/>
              </w:tabs>
              <w:ind w:left="311" w:hanging="311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 w:bidi="pl-PL"/>
              </w:rPr>
            </w:pPr>
          </w:p>
        </w:tc>
      </w:tr>
    </w:tbl>
    <w:p w14:paraId="41E84084" w14:textId="77777777" w:rsidR="004D1E83" w:rsidRDefault="004D1E83">
      <w:pPr>
        <w:pStyle w:val="Normal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</w:pPr>
    </w:p>
    <w:p w14:paraId="05FFE1F2" w14:textId="77777777" w:rsidR="004D1E83" w:rsidRDefault="009F49BD">
      <w:pPr>
        <w:pStyle w:val="Normal"/>
        <w:jc w:val="center"/>
      </w:pPr>
      <w:r>
        <w:rPr>
          <w:rFonts w:ascii="Times New Roman" w:hAnsi="Times New Roman" w:cs="Times New Roman"/>
          <w:b/>
          <w:bCs/>
          <w:color w:val="000000"/>
          <w:sz w:val="56"/>
          <w:szCs w:val="56"/>
          <w:lang w:eastAsia="pl-PL" w:bidi="pl-PL"/>
        </w:rPr>
        <w:t>O B W I E S Z C Z E N I E</w:t>
      </w:r>
    </w:p>
    <w:p w14:paraId="448BBA29" w14:textId="77777777" w:rsidR="004D1E83" w:rsidRDefault="004D1E83">
      <w:pPr>
        <w:pStyle w:val="Normal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</w:pPr>
    </w:p>
    <w:p w14:paraId="3F71880B" w14:textId="77777777" w:rsidR="004D1E83" w:rsidRDefault="009F49BD">
      <w:pPr>
        <w:pStyle w:val="Normal"/>
        <w:spacing w:line="360" w:lineRule="auto"/>
        <w:ind w:firstLine="284"/>
        <w:jc w:val="center"/>
      </w:pPr>
      <w:r>
        <w:rPr>
          <w:rFonts w:ascii="Times New Roman" w:hAnsi="Times New Roman" w:cs="Times New Roman"/>
          <w:color w:val="000000"/>
          <w:lang w:eastAsia="pl-PL" w:bidi="pl-PL"/>
        </w:rPr>
        <w:t>Komornik S</w:t>
      </w:r>
      <w:r>
        <w:rPr>
          <w:rFonts w:ascii="Times New Roman" w:eastAsia="Times New Roman" w:hAnsi="Times New Roman" w:cs="Times New Roman"/>
          <w:color w:val="000000"/>
          <w:lang w:eastAsia="pl-PL" w:bidi="pl-PL"/>
        </w:rPr>
        <w:t xml:space="preserve">ądowy przy Sądzie </w:t>
      </w:r>
      <w:r>
        <w:rPr>
          <w:rFonts w:ascii="Times New Roman" w:eastAsia="Times New Roman" w:hAnsi="Times New Roman" w:cs="Times New Roman"/>
          <w:color w:val="000000"/>
          <w:lang w:eastAsia="pl-PL" w:bidi="pl-PL"/>
        </w:rPr>
        <w:t>Rejonowym w Kolbuszowej Monika Toczek Kancelaria Komornicza nr II w Kolbuszowej zawiadamia, że na wniosek wnioskodawcy</w:t>
      </w:r>
    </w:p>
    <w:p w14:paraId="017CDCFA" w14:textId="77777777" w:rsidR="004D1E83" w:rsidRDefault="004D1E83">
      <w:pPr>
        <w:pStyle w:val="Normal"/>
        <w:spacing w:line="360" w:lineRule="auto"/>
        <w:jc w:val="center"/>
        <w:rPr>
          <w:rFonts w:ascii="Times New Roman" w:hAnsi="Times New Roman" w:cs="Times New Roman"/>
          <w:color w:val="000000"/>
          <w:sz w:val="8"/>
          <w:szCs w:val="8"/>
          <w:lang w:eastAsia="pl-PL" w:bidi="pl-PL"/>
        </w:rPr>
      </w:pPr>
    </w:p>
    <w:p w14:paraId="2E36012B" w14:textId="77777777" w:rsidR="004D1E83" w:rsidRDefault="009F49BD">
      <w:pPr>
        <w:pStyle w:val="Normal"/>
        <w:spacing w:line="360" w:lineRule="auto"/>
        <w:jc w:val="center"/>
      </w:pPr>
      <w:r>
        <w:rPr>
          <w:rFonts w:ascii="Times New Roman" w:hAnsi="Times New Roman" w:cs="Times New Roman"/>
          <w:b/>
          <w:bCs/>
          <w:color w:val="000000"/>
          <w:sz w:val="30"/>
          <w:szCs w:val="30"/>
          <w:lang w:eastAsia="pl-PL" w:bidi="pl-PL"/>
        </w:rPr>
        <w:t xml:space="preserve">p r z y s t 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pl-PL" w:bidi="pl-PL"/>
        </w:rPr>
        <w:t xml:space="preserve">ą p i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pl-PL" w:bidi="pl-PL"/>
        </w:rPr>
        <w:t>ł  d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pl-PL" w:bidi="pl-PL"/>
        </w:rPr>
        <w:t xml:space="preserve"> o  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pl-PL" w:bidi="pl-PL"/>
        </w:rPr>
        <w:br/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pl-PL" w:bidi="pl-PL"/>
        </w:rPr>
        <w:t>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pl-PL" w:bidi="pl-PL"/>
        </w:rPr>
        <w:t xml:space="preserve"> P I S U  I  O S Z A C O W A N I A</w:t>
      </w:r>
    </w:p>
    <w:p w14:paraId="68D797C0" w14:textId="77777777" w:rsidR="004D1E83" w:rsidRDefault="004D1E83">
      <w:pPr>
        <w:pStyle w:val="Normal"/>
        <w:spacing w:line="360" w:lineRule="auto"/>
        <w:jc w:val="center"/>
        <w:rPr>
          <w:rFonts w:ascii="Times New Roman" w:hAnsi="Times New Roman" w:cs="Times New Roman"/>
          <w:color w:val="000000"/>
          <w:sz w:val="8"/>
          <w:szCs w:val="8"/>
          <w:lang w:eastAsia="pl-PL" w:bidi="pl-PL"/>
        </w:rPr>
      </w:pPr>
    </w:p>
    <w:p w14:paraId="31E590E2" w14:textId="77777777" w:rsidR="004D1E83" w:rsidRDefault="009F49BD">
      <w:pPr>
        <w:pStyle w:val="Normal"/>
        <w:spacing w:line="360" w:lineRule="auto"/>
        <w:jc w:val="center"/>
      </w:pPr>
      <w:r>
        <w:rPr>
          <w:rFonts w:ascii="Times New Roman" w:hAnsi="Times New Roman" w:cs="Times New Roman"/>
          <w:color w:val="000000"/>
          <w:lang w:eastAsia="pl-PL" w:bidi="pl-PL"/>
        </w:rPr>
        <w:t>nieruchomo</w:t>
      </w:r>
      <w:r>
        <w:rPr>
          <w:rFonts w:ascii="Times New Roman" w:eastAsia="Times New Roman" w:hAnsi="Times New Roman" w:cs="Times New Roman"/>
          <w:color w:val="000000"/>
          <w:lang w:eastAsia="pl-PL" w:bidi="pl-PL"/>
        </w:rPr>
        <w:t xml:space="preserve">ści wraz z przynależnościami w postaci prawa własności działek gruntu nr 5779/1, 6107, 6192, 6088/1, 6088/2 o powierzchni 1,5770 ha położonej w miejscowości Wola Raniżowska,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lang w:eastAsia="pl-PL" w:bidi="pl-PL"/>
        </w:rPr>
        <w:t>gm.Raniżów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lang w:eastAsia="pl-PL" w:bidi="pl-PL"/>
        </w:rPr>
        <w:t>, dla której IV Wydział Ksiąg Wieczystych Sądu Rejonowego w Kolbuszowej prowadzi KW nr TB1K/00053266/1</w:t>
      </w:r>
    </w:p>
    <w:p w14:paraId="4EF3EE17" w14:textId="77777777" w:rsidR="004D1E83" w:rsidRDefault="009F49BD">
      <w:pPr>
        <w:pStyle w:val="Normal"/>
        <w:spacing w:line="360" w:lineRule="auto"/>
        <w:jc w:val="center"/>
      </w:pPr>
      <w:r>
        <w:rPr>
          <w:rFonts w:ascii="Times New Roman" w:eastAsia="Times New Roman" w:hAnsi="Times New Roman" w:cs="Times New Roman"/>
          <w:color w:val="000000"/>
          <w:lang w:eastAsia="pl-PL" w:bidi="pl-PL"/>
        </w:rPr>
        <w:t>oraz</w:t>
      </w:r>
    </w:p>
    <w:p w14:paraId="7F01C6D6" w14:textId="77777777" w:rsidR="004D1E83" w:rsidRDefault="009F49BD">
      <w:pPr>
        <w:pStyle w:val="Normal"/>
        <w:spacing w:line="360" w:lineRule="auto"/>
        <w:jc w:val="center"/>
      </w:pPr>
      <w:r>
        <w:rPr>
          <w:rFonts w:ascii="Times New Roman" w:eastAsia="Times New Roman" w:hAnsi="Times New Roman" w:cs="Times New Roman"/>
          <w:color w:val="000000"/>
          <w:lang w:eastAsia="pl-PL" w:bidi="pl-PL"/>
        </w:rPr>
        <w:t xml:space="preserve">udziału 1/383 w części gruntu w Leśnej Wspólnocie Wsi Wola Raniżowska, położonego w obrębie ewidencyjnym Wilcza Wola o łącznej powierzchni 69,85 ha.  Nieruchomość nie posiada założonej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pl-PL" w:bidi="pl-PL"/>
        </w:rPr>
        <w:t>ksiegi</w:t>
      </w:r>
      <w:proofErr w:type="spellEnd"/>
      <w:r>
        <w:rPr>
          <w:rFonts w:ascii="Times New Roman" w:eastAsia="Times New Roman" w:hAnsi="Times New Roman" w:cs="Times New Roman"/>
          <w:color w:val="000000"/>
          <w:lang w:eastAsia="pl-PL" w:bidi="pl-PL"/>
        </w:rPr>
        <w:t xml:space="preserve"> wieczystej.</w:t>
      </w:r>
    </w:p>
    <w:p w14:paraId="023601D2" w14:textId="77777777" w:rsidR="004D1E83" w:rsidRDefault="004D1E83">
      <w:pPr>
        <w:pStyle w:val="Normal"/>
        <w:spacing w:line="360" w:lineRule="auto"/>
        <w:jc w:val="center"/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</w:pPr>
    </w:p>
    <w:p w14:paraId="6CF0955A" w14:textId="77777777" w:rsidR="004D1E83" w:rsidRDefault="009F49BD">
      <w:pPr>
        <w:pStyle w:val="Normal"/>
        <w:spacing w:line="360" w:lineRule="auto"/>
        <w:jc w:val="center"/>
      </w:pPr>
      <w:r>
        <w:rPr>
          <w:rFonts w:ascii="Times New Roman" w:hAnsi="Times New Roman" w:cs="Times New Roman"/>
          <w:color w:val="000000"/>
          <w:lang w:eastAsia="pl-PL" w:bidi="pl-PL"/>
        </w:rPr>
        <w:t>Protok</w:t>
      </w:r>
      <w:r>
        <w:rPr>
          <w:rFonts w:ascii="Times New Roman" w:eastAsia="Times New Roman" w:hAnsi="Times New Roman" w:cs="Times New Roman"/>
          <w:color w:val="000000"/>
          <w:lang w:eastAsia="pl-PL" w:bidi="pl-PL"/>
        </w:rPr>
        <w:t>ół z opisu i oszacowania wyżej wymienionej nieruchomości zostanie sporządzony w dniu:</w:t>
      </w:r>
    </w:p>
    <w:p w14:paraId="649E8326" w14:textId="77777777" w:rsidR="004D1E83" w:rsidRDefault="009F49BD">
      <w:pPr>
        <w:pStyle w:val="Normal"/>
        <w:spacing w:line="360" w:lineRule="auto"/>
        <w:jc w:val="center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pl-PL" w:bidi="pl-PL"/>
        </w:rPr>
        <w:t>14.11.2023 o godzinie 09: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pl-PL" w:bidi="pl-PL"/>
        </w:rPr>
        <w:t>00</w:t>
      </w:r>
      <w:r>
        <w:rPr>
          <w:rFonts w:ascii="Times New Roman" w:hAnsi="Times New Roman" w:cs="Times New Roman"/>
          <w:color w:val="000000"/>
          <w:lang w:eastAsia="pl-PL" w:bidi="pl-PL"/>
        </w:rPr>
        <w:t xml:space="preserve">  -</w:t>
      </w:r>
      <w:proofErr w:type="gramEnd"/>
      <w:r>
        <w:rPr>
          <w:rFonts w:ascii="Times New Roman" w:hAnsi="Times New Roman" w:cs="Times New Roman"/>
          <w:color w:val="000000"/>
          <w:lang w:eastAsia="pl-PL" w:bidi="pl-PL"/>
        </w:rPr>
        <w:t xml:space="preserve"> w kancelarii komornika.</w:t>
      </w:r>
    </w:p>
    <w:p w14:paraId="301A377A" w14:textId="77777777" w:rsidR="004D1E83" w:rsidRDefault="009F49BD">
      <w:pPr>
        <w:pStyle w:val="Normal"/>
      </w:pPr>
      <w:r>
        <w:rPr>
          <w:rFonts w:ascii="Times New Roman" w:hAnsi="Times New Roman" w:cs="Times New Roman"/>
          <w:color w:val="000000"/>
          <w:lang w:eastAsia="pl-PL" w:bidi="pl-PL"/>
        </w:rPr>
        <w:t>Wobec powy</w:t>
      </w:r>
      <w:r>
        <w:rPr>
          <w:rFonts w:ascii="Times New Roman" w:eastAsia="Times New Roman" w:hAnsi="Times New Roman" w:cs="Times New Roman"/>
          <w:color w:val="000000"/>
          <w:lang w:eastAsia="pl-PL" w:bidi="pl-PL"/>
        </w:rPr>
        <w:t xml:space="preserve">ższego na podstawie </w:t>
      </w:r>
      <w:r>
        <w:rPr>
          <w:rFonts w:ascii="Times New Roman" w:hAnsi="Times New Roman" w:cs="Times New Roman"/>
          <w:b/>
          <w:bCs/>
          <w:color w:val="000000"/>
          <w:lang w:eastAsia="pl-PL" w:bidi="pl-PL"/>
        </w:rPr>
        <w:t>art. 945 </w:t>
      </w:r>
      <w:proofErr w:type="spellStart"/>
      <w:r>
        <w:rPr>
          <w:rFonts w:ascii="Times New Roman" w:hAnsi="Times New Roman" w:cs="Times New Roman"/>
          <w:b/>
          <w:bCs/>
          <w:color w:val="000000"/>
          <w:lang w:eastAsia="pl-PL" w:bidi="pl-PL"/>
        </w:rPr>
        <w:t>kpc</w:t>
      </w:r>
      <w:proofErr w:type="spellEnd"/>
    </w:p>
    <w:p w14:paraId="78CF01A8" w14:textId="77777777" w:rsidR="004D1E83" w:rsidRDefault="004D1E83">
      <w:pPr>
        <w:pStyle w:val="Normal"/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</w:pPr>
    </w:p>
    <w:p w14:paraId="387F8F08" w14:textId="77777777" w:rsidR="004D1E83" w:rsidRDefault="004D1E83">
      <w:pPr>
        <w:pStyle w:val="Normal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</w:pPr>
    </w:p>
    <w:p w14:paraId="109EE945" w14:textId="77777777" w:rsidR="004D1E83" w:rsidRDefault="009F49BD">
      <w:pPr>
        <w:pStyle w:val="Normal"/>
        <w:jc w:val="center"/>
      </w:pPr>
      <w:r>
        <w:rPr>
          <w:rFonts w:ascii="Times New Roman" w:hAnsi="Times New Roman" w:cs="Times New Roman"/>
          <w:b/>
          <w:bCs/>
          <w:color w:val="000000"/>
          <w:sz w:val="30"/>
          <w:szCs w:val="30"/>
          <w:lang w:eastAsia="pl-PL" w:bidi="pl-PL"/>
        </w:rPr>
        <w:t>W Z Y W A M</w:t>
      </w:r>
    </w:p>
    <w:p w14:paraId="3B67BADB" w14:textId="77777777" w:rsidR="004D1E83" w:rsidRDefault="004D1E83">
      <w:pPr>
        <w:pStyle w:val="Normal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</w:pPr>
    </w:p>
    <w:p w14:paraId="157845A5" w14:textId="77777777" w:rsidR="004D1E83" w:rsidRDefault="004D1E83">
      <w:pPr>
        <w:pStyle w:val="Normal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</w:pPr>
    </w:p>
    <w:p w14:paraId="42147580" w14:textId="77777777" w:rsidR="004D1E83" w:rsidRDefault="009F49BD">
      <w:pPr>
        <w:pStyle w:val="Normal"/>
        <w:spacing w:line="360" w:lineRule="auto"/>
        <w:jc w:val="both"/>
      </w:pPr>
      <w:r>
        <w:rPr>
          <w:rFonts w:ascii="Times New Roman" w:hAnsi="Times New Roman" w:cs="Times New Roman"/>
          <w:color w:val="000000"/>
          <w:lang w:eastAsia="pl-PL" w:bidi="pl-PL"/>
        </w:rPr>
        <w:t>wszystkie osoby, kt</w:t>
      </w:r>
      <w:r>
        <w:rPr>
          <w:rFonts w:ascii="Times New Roman" w:eastAsia="Times New Roman" w:hAnsi="Times New Roman" w:cs="Times New Roman"/>
          <w:color w:val="000000"/>
          <w:lang w:eastAsia="pl-PL" w:bidi="pl-PL"/>
        </w:rPr>
        <w:t xml:space="preserve">óre roszczą sobie prawa do tej nieruchomości i przedmiotów razem z nią zajętych, aby zgłosiły swoje </w:t>
      </w:r>
      <w:r>
        <w:rPr>
          <w:rFonts w:ascii="Times New Roman" w:eastAsia="Times New Roman" w:hAnsi="Times New Roman" w:cs="Times New Roman"/>
          <w:color w:val="000000"/>
          <w:lang w:eastAsia="pl-PL" w:bidi="pl-PL"/>
        </w:rPr>
        <w:t>prawa przed ukończeniem opisu.</w:t>
      </w:r>
    </w:p>
    <w:p w14:paraId="25EC8FEF" w14:textId="77777777" w:rsidR="004D1E83" w:rsidRDefault="004D1E83">
      <w:pPr>
        <w:pStyle w:val="Normal"/>
        <w:tabs>
          <w:tab w:val="left" w:pos="10206"/>
        </w:tabs>
        <w:ind w:right="272"/>
        <w:rPr>
          <w:rFonts w:ascii="Times New Roman" w:hAnsi="Times New Roman" w:cs="Times New Roman"/>
          <w:b/>
          <w:bCs/>
          <w:color w:val="000000"/>
          <w:sz w:val="4"/>
          <w:szCs w:val="4"/>
          <w:lang w:eastAsia="pl-PL" w:bidi="pl-PL"/>
        </w:rPr>
      </w:pPr>
    </w:p>
    <w:p w14:paraId="7F5A94E5" w14:textId="77777777" w:rsidR="004D1E83" w:rsidRDefault="004D1E83">
      <w:pPr>
        <w:pStyle w:val="Normal"/>
        <w:tabs>
          <w:tab w:val="left" w:pos="10206"/>
        </w:tabs>
        <w:ind w:right="272"/>
        <w:rPr>
          <w:rFonts w:ascii="Times New Roman" w:hAnsi="Times New Roman" w:cs="Times New Roman"/>
          <w:b/>
          <w:bCs/>
          <w:color w:val="000000"/>
          <w:sz w:val="14"/>
          <w:szCs w:val="14"/>
          <w:lang w:eastAsia="pl-PL" w:bidi="pl-PL"/>
        </w:rPr>
      </w:pPr>
    </w:p>
    <w:p w14:paraId="510F038F" w14:textId="77777777" w:rsidR="004D1E83" w:rsidRDefault="009F49BD">
      <w:pPr>
        <w:pStyle w:val="Normal"/>
        <w:tabs>
          <w:tab w:val="left" w:pos="10206"/>
        </w:tabs>
        <w:ind w:right="1303"/>
      </w:pPr>
      <w:r>
        <w:rPr>
          <w:rFonts w:ascii="Times New Roman" w:hAnsi="Times New Roman" w:cs="Times New Roman"/>
          <w:b/>
          <w:bCs/>
          <w:color w:val="000000"/>
          <w:sz w:val="14"/>
          <w:szCs w:val="14"/>
          <w:lang w:eastAsia="pl-PL" w:bidi="pl-PL"/>
        </w:rPr>
        <w:t xml:space="preserve">                                                                                                     </w:t>
      </w:r>
    </w:p>
    <w:p w14:paraId="48087438" w14:textId="77777777" w:rsidR="004D1E83" w:rsidRDefault="009F49BD">
      <w:pPr>
        <w:pStyle w:val="Normal"/>
        <w:tabs>
          <w:tab w:val="left" w:pos="10206"/>
        </w:tabs>
        <w:ind w:right="272"/>
      </w:pPr>
      <w:r>
        <w:rPr>
          <w:rFonts w:ascii="Times New Roman" w:hAnsi="Times New Roman" w:cs="Times New Roman"/>
          <w:b/>
          <w:bCs/>
          <w:color w:val="000000"/>
          <w:sz w:val="14"/>
          <w:szCs w:val="14"/>
          <w:lang w:eastAsia="pl-PL" w:bidi="pl-PL"/>
        </w:rPr>
        <w:t xml:space="preserve">                                          </w:t>
      </w:r>
    </w:p>
    <w:p w14:paraId="075F5812" w14:textId="77777777" w:rsidR="004D1E83" w:rsidRDefault="009F49BD">
      <w:pPr>
        <w:pStyle w:val="Normal"/>
        <w:tabs>
          <w:tab w:val="left" w:pos="10206"/>
        </w:tabs>
        <w:ind w:right="1303"/>
        <w:jc w:val="right"/>
      </w:pPr>
      <w:r>
        <w:rPr>
          <w:rFonts w:ascii="Times New Roman" w:hAnsi="Times New Roman" w:cs="Times New Roman"/>
          <w:b/>
          <w:bCs/>
          <w:color w:val="000000"/>
          <w:sz w:val="14"/>
          <w:szCs w:val="14"/>
          <w:lang w:eastAsia="pl-PL" w:bidi="pl-PL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 xml:space="preserve">   Komornik S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>ądowy</w:t>
      </w:r>
    </w:p>
    <w:p w14:paraId="6FC26834" w14:textId="77777777" w:rsidR="004D1E83" w:rsidRDefault="004D1E83">
      <w:pPr>
        <w:pStyle w:val="Normal"/>
        <w:tabs>
          <w:tab w:val="left" w:pos="10206"/>
        </w:tabs>
        <w:ind w:right="1303"/>
        <w:jc w:val="righ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 w:bidi="pl-PL"/>
        </w:rPr>
      </w:pPr>
    </w:p>
    <w:p w14:paraId="10247F8A" w14:textId="77777777" w:rsidR="004D1E83" w:rsidRDefault="009F49BD">
      <w:pPr>
        <w:pStyle w:val="Normal"/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 xml:space="preserve">                                                                                                                                         Monika Toczek</w:t>
      </w:r>
    </w:p>
    <w:p w14:paraId="633D934B" w14:textId="77777777" w:rsidR="004D1E83" w:rsidRDefault="004D1E83">
      <w:pPr>
        <w:pStyle w:val="Standard"/>
        <w:rPr>
          <w:rFonts w:hint="eastAsia"/>
        </w:rPr>
      </w:pPr>
    </w:p>
    <w:sectPr w:rsidR="004D1E83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05832B" w14:textId="77777777" w:rsidR="009F49BD" w:rsidRDefault="009F49BD">
      <w:pPr>
        <w:rPr>
          <w:rFonts w:hint="eastAsia"/>
        </w:rPr>
      </w:pPr>
      <w:r>
        <w:separator/>
      </w:r>
    </w:p>
  </w:endnote>
  <w:endnote w:type="continuationSeparator" w:id="0">
    <w:p w14:paraId="2A31E0E5" w14:textId="77777777" w:rsidR="009F49BD" w:rsidRDefault="009F49B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40502020204"/>
    <w:charset w:val="EE"/>
    <w:family w:val="swiss"/>
    <w:pitch w:val="variable"/>
    <w:sig w:usb0="8100AAF7" w:usb1="0000807B" w:usb2="00000008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488CFF" w14:textId="77777777" w:rsidR="009F49BD" w:rsidRDefault="009F49BD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78FC1A63" w14:textId="77777777" w:rsidR="009F49BD" w:rsidRDefault="009F49B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D1E83"/>
    <w:rsid w:val="004D1E83"/>
    <w:rsid w:val="009F4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31725"/>
  <w15:docId w15:val="{BE46098F-6DF8-4B60-A183-F9CE455F1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customStyle="1" w:styleId="Normal">
    <w:name w:val="[Normal]"/>
    <w:pPr>
      <w:widowControl w:val="0"/>
    </w:pPr>
    <w:rPr>
      <w:rFonts w:ascii="Arial" w:eastAsia="Symbo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277</Words>
  <Characters>1664</Characters>
  <Application>Microsoft Office Word</Application>
  <DocSecurity>4</DocSecurity>
  <Lines>13</Lines>
  <Paragraphs>3</Paragraphs>
  <ScaleCrop>false</ScaleCrop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Wilk Bogdan</dc:creator>
  <cp:lastModifiedBy>Bogdan Wilk</cp:lastModifiedBy>
  <cp:revision>2</cp:revision>
  <dcterms:created xsi:type="dcterms:W3CDTF">2023-09-21T12:22:00Z</dcterms:created>
  <dcterms:modified xsi:type="dcterms:W3CDTF">2023-09-21T12:22:00Z</dcterms:modified>
</cp:coreProperties>
</file>